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320"/>
          <w:tab w:val="center" w:pos="4213"/>
        </w:tabs>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第十讲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钙性尿毒症性小动脉病患者的护理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福建省立医院肾内科 曹芳 陈月玲 庄丽婷</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w:t>
      </w:r>
      <w:r>
        <w:rPr>
          <w:rFonts w:hint="eastAsia" w:ascii="仿宋_GB2312" w:hAnsi="仿宋_GB2312" w:eastAsia="仿宋_GB2312" w:cs="仿宋_GB2312"/>
          <w:sz w:val="32"/>
          <w:szCs w:val="32"/>
        </w:rPr>
        <w:t>(calciphylaxis) 是一种严重的血管性疾病，主要特</w:t>
      </w:r>
      <w:r>
        <w:rPr>
          <w:rFonts w:hint="eastAsia" w:ascii="仿宋_GB2312" w:hAnsi="仿宋_GB2312" w:eastAsia="仿宋_GB2312" w:cs="仿宋_GB2312"/>
          <w:sz w:val="32"/>
          <w:szCs w:val="32"/>
        </w:rPr>
        <w:t>征为系统性小动脉钙化合并内皮破坏和血栓形成。钙性尿毒症性小动脉病</w:t>
      </w:r>
      <w:r>
        <w:rPr>
          <w:rFonts w:hint="eastAsia" w:ascii="仿宋_GB2312" w:hAnsi="仿宋_GB2312" w:eastAsia="仿宋_GB2312" w:cs="仿宋_GB2312"/>
          <w:sz w:val="32"/>
          <w:szCs w:val="32"/>
        </w:rPr>
        <w:t>( calcific uremic arteri  olopathy, CUA)</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亦称钙化防御</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rPr>
        <w:t>以系统性小动脉钙化和组织缺血为特征,</w:t>
      </w:r>
      <w:r>
        <w:rPr>
          <w:rFonts w:hint="eastAsia" w:ascii="仿宋_GB2312" w:hAnsi="仿宋_GB2312" w:eastAsia="仿宋_GB2312" w:cs="仿宋_GB2312"/>
          <w:sz w:val="32"/>
          <w:szCs w:val="32"/>
        </w:rPr>
        <w:t xml:space="preserve"> 还可发生骨骼肌、脑、肺、肠、眼和肠系膜等的血管钙化，</w:t>
      </w:r>
      <w:r>
        <w:rPr>
          <w:rFonts w:hint="eastAsia" w:ascii="仿宋_GB2312" w:hAnsi="仿宋_GB2312" w:eastAsia="仿宋_GB2312" w:cs="仿宋_GB2312"/>
          <w:sz w:val="32"/>
          <w:szCs w:val="32"/>
        </w:rPr>
        <w:t>主要表现为皮肤溃疡、动脉血管钙化和周围组织缺血性坏死, 严重者出现坏疽。</w:t>
      </w:r>
      <w:r>
        <w:rPr>
          <w:rFonts w:hint="eastAsia" w:ascii="仿宋_GB2312" w:hAnsi="仿宋_GB2312" w:eastAsia="仿宋_GB2312" w:cs="仿宋_GB2312"/>
          <w:sz w:val="32"/>
          <w:szCs w:val="32"/>
        </w:rPr>
        <w:t>愈合不</w:t>
      </w:r>
      <w:r>
        <w:rPr>
          <w:rFonts w:hint="eastAsia" w:ascii="仿宋_GB2312" w:hAnsi="仿宋_GB2312" w:eastAsia="仿宋_GB2312" w:cs="仿宋_GB2312"/>
          <w:sz w:val="32"/>
          <w:szCs w:val="32"/>
        </w:rPr>
        <w:t>良且伴剧痛的皮损(网状青斑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网状紫癜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紫</w:t>
      </w:r>
      <w:r>
        <w:rPr>
          <w:rFonts w:hint="eastAsia" w:ascii="仿宋_GB2312" w:hAnsi="仿宋_GB2312" w:eastAsia="仿宋_GB2312" w:cs="仿宋_GB2312"/>
          <w:sz w:val="32"/>
          <w:szCs w:val="32"/>
        </w:rPr>
        <w:t>红</w:t>
      </w:r>
      <w:r>
        <w:rPr>
          <w:rFonts w:hint="eastAsia" w:ascii="仿宋_GB2312" w:hAnsi="仿宋_GB2312" w:eastAsia="仿宋_GB2312" w:cs="仿宋_GB2312"/>
          <w:sz w:val="32"/>
          <w:szCs w:val="32"/>
        </w:rPr>
        <w:t>色斑块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结节 ), 并常起泡和溃疡而叠加感染</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溃</w:t>
      </w:r>
      <w:r>
        <w:rPr>
          <w:rFonts w:hint="eastAsia" w:ascii="仿宋_GB2312" w:hAnsi="仿宋_GB2312" w:eastAsia="仿宋_GB2312" w:cs="仿宋_GB2312"/>
          <w:sz w:val="32"/>
          <w:szCs w:val="32"/>
        </w:rPr>
        <w:t>疡性</w:t>
      </w:r>
      <w:r>
        <w:rPr>
          <w:rFonts w:hint="eastAsia" w:ascii="仿宋_GB2312" w:hAnsi="仿宋_GB2312" w:eastAsia="仿宋_GB2312" w:cs="仿宋_GB2312"/>
          <w:sz w:val="32"/>
          <w:szCs w:val="32"/>
        </w:rPr>
        <w:t>皮损常表现出黑色焦痂。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rPr>
        <w:t>UA发病率为 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有增高趋势,男女比为 1:3。</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rPr>
        <w:t>UA易见于透析、肾移植和慢性肾衰竭</w:t>
      </w:r>
      <w:r>
        <w:rPr>
          <w:rFonts w:hint="eastAsia" w:ascii="仿宋_GB2312" w:hAnsi="仿宋_GB2312" w:eastAsia="仿宋_GB2312" w:cs="仿宋_GB2312"/>
          <w:sz w:val="32"/>
          <w:szCs w:val="32"/>
        </w:rPr>
        <w:t>患者</w:t>
      </w:r>
      <w:r>
        <w:rPr>
          <w:rFonts w:hint="eastAsia" w:ascii="仿宋_GB2312" w:hAnsi="仿宋_GB2312" w:eastAsia="仿宋_GB2312" w:cs="仿宋_GB2312"/>
          <w:sz w:val="32"/>
          <w:szCs w:val="32"/>
        </w:rPr>
        <w:t>, 在透析患者中发病率约为 4%，在肾功能正常的癌症、炎症性肠道疾病、原发甲旁亢、酒精性肝硬化、类风湿关节炎病人也有个例报道。</w:t>
      </w:r>
      <w:r>
        <w:rPr>
          <w:rFonts w:hint="eastAsia" w:ascii="仿宋_GB2312" w:hAnsi="仿宋_GB2312" w:eastAsia="仿宋_GB2312" w:cs="仿宋_GB2312"/>
          <w:sz w:val="32"/>
          <w:szCs w:val="32"/>
        </w:rPr>
        <w:t>这是一种非常罕见但致死率十分高的疾病，</w:t>
      </w:r>
      <w:r>
        <w:rPr>
          <w:rFonts w:hint="eastAsia" w:ascii="仿宋_GB2312" w:hAnsi="仿宋_GB2312" w:eastAsia="仿宋_GB2312" w:cs="仿宋_GB2312"/>
          <w:sz w:val="32"/>
          <w:szCs w:val="32"/>
        </w:rPr>
        <w:t>其1年内病死率为 45% ～80%，主要死因为脓毒血症。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钙化防御的诊断尚缺乏公认的诊断标准，梅奥诊所提出的钙化防御诊断标准</w:t>
      </w:r>
      <w:r>
        <w:rPr>
          <w:rFonts w:hint="eastAsia" w:ascii="仿宋_GB2312" w:hAnsi="仿宋_GB2312" w:eastAsia="仿宋_GB2312" w:cs="仿宋_GB2312"/>
          <w:sz w:val="32"/>
          <w:szCs w:val="32"/>
        </w:rPr>
        <w:t>(表1)应用最为广泛，其主要依据临床和皮肤活检两方面来进行诊断。</w:t>
      </w:r>
    </w:p>
    <w:p>
      <w:pPr>
        <w:spacing w:line="360" w:lineRule="auto"/>
        <w:rPr>
          <w:rFonts w:ascii="宋体" w:hAnsi="宋体" w:eastAsia="宋体"/>
          <w:sz w:val="24"/>
          <w:szCs w:val="24"/>
        </w:rPr>
      </w:pPr>
      <w:r>
        <w:rPr>
          <w:rFonts w:ascii="宋体" w:hAnsi="宋体" w:eastAsia="宋体"/>
          <w:sz w:val="24"/>
          <w:szCs w:val="24"/>
        </w:rPr>
        <w:drawing>
          <wp:inline distT="0" distB="0" distL="0" distR="0">
            <wp:extent cx="5260340" cy="2303145"/>
            <wp:effectExtent l="0" t="0" r="0" b="1905"/>
            <wp:docPr id="1" name="图片 1" descr="C:\Users\CF\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CF\Desktop\图片1.png"/>
                    <pic:cNvPicPr>
                      <a:picLocks noChangeAspect="1" noChangeArrowheads="1"/>
                    </pic:cNvPicPr>
                  </pic:nvPicPr>
                  <pic:blipFill>
                    <a:blip r:embed="rId4">
                      <a:extLst>
                        <a:ext uri="{28A0092B-C50C-407E-A947-70E740481C1C}">
                          <a14:useLocalDpi xmlns:a14="http://schemas.microsoft.com/office/drawing/2010/main" val="0"/>
                        </a:ext>
                      </a:extLst>
                    </a:blip>
                    <a:srcRect l="7199" r="7239"/>
                    <a:stretch>
                      <a:fillRect/>
                    </a:stretch>
                  </pic:blipFill>
                  <pic:spPr>
                    <a:xfrm>
                      <a:off x="0" y="0"/>
                      <a:ext cx="5276225" cy="2310139"/>
                    </a:xfrm>
                    <a:prstGeom prst="rect">
                      <a:avLst/>
                    </a:prstGeom>
                    <a:noFill/>
                    <a:ln>
                      <a:noFill/>
                    </a:ln>
                  </pic:spPr>
                </pic:pic>
              </a:graphicData>
            </a:graphic>
          </wp:inline>
        </w:drawing>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调查发现以下是钙性尿毒症性小动脉病的危险因素: 肾衰竭、糖尿病、肥胖、应用法华令或大剂量碳酸钙、低蛋白血症、使用免疫抑制剂和皮质激素等。该病病理机制不祥, 目前尚无理想治疗措施, 但一般认为钙性尿毒症性小动脉病是可预防的, 注意钙、磷、PTH 以及营养参数, 减少或阻止诱发因素可减少CUA发生, 对于高危人群, 如白人女性、肥胖和糖尿病患者,加强血清磷控制、注意降低体重并保持最佳的营养状态有一定的作用。一旦有 CUA 征象或临床拟诊, 应即刻停用一切可能的致敏剂或激发剂。</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近年来最常见的治疗措施是使用硫代硫酸钠药物治疗。硫代硫酸钠（sodium thiosulfate，STS） STS是一种可抑制脂肪细胞钙化以及阻断脂肪细胞诱导血管平滑肌细胞钙化的一种药物，可促进血管舒张，减少缺血性疼痛。Peng等的一项系统评价结果显示，STS 对钙化防御治疗的有效率可达70.1%。透析患者常用的治疗方法为每周静脉注射3次，有效STS剂量为 5-25g，不良反应以低钙血症、高钠血症、代谢性酸中毒、QT间期延长、头痛、恶心、呕吐等较为常见。有个案报道将加入STS的透析液灌入腹膜透析并发钙化防御病人的腹腔会引发腹膜炎，所以应避免通过腹腔注射STS治疗钙化防御 。</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由于该疾病预后较差，一年内存活率低，且疼痛明显，舒适度差，对患者做好相应的护理措施，可以减轻疾病给患者带来的痛苦。</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（一）心理护理</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1、我们应主动建立良好的护患关系，关心患者，耐心、细心、体谅患者的疾苦，交流时注意语速宜慢，语调适中，帮助患者正确面对疾病，积极配合治疗。</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2、动态观察患者的心理状态，如实的进行焦虑量表的填写及分析，有焦虑抑郁情绪应及时疏导，给予心理干预。</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3、鼓励家属给予更多的关爱、支持，避免让患者独处，家属经常与患者交谈可转移注意力，指导患者的家属能正确的面对和处理患者的情绪和心理状况。</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（二）疼痛护理：疼痛是钙化防御患者的主要特点，表现为静息痛，创面换药时更为疼痛，适当的缓解疼痛措施是十分必要的。</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为减轻因换药带来的疼痛，在患者出现疼痛时，对患者进行疼痛评分，及时遵医嘱调整用药。换药前予1%利多卡因用10ml注射器均匀喷洒伤口底层敷料，使其全部浸润，2～3min后揭开底层敷料，患者在换药时的疼痛会明显减轻。碘伏消毒后，再次用生理盐水清洗，清除坏死组织，加涂纳米银控制感染，外贴凡士林油纱布，指导患者保持创面清洁，干燥。该类创面面积大，渗出多，隔天换药一次，敷料选择及换药时机应根据情况而定，及时作出调整。</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疼痛的处理采取主动预防用药。止痛剂应有规律按时给予，下一次用药应在前一次药物药效消失之前给予，得以持续镇痛。虽然文献有建议使用麻醉性镇痛药，但是吗啡等可能会导致有毒副产物的蓄积，进一步损害组织灌注，因而芬太尼透皮贴剂可能更适合基础疼痛的控制。研究表明，吗啡、可待因及氢可酮应避免用于透析患者，因其可导致神经毒性代谢物蓄积，美沙酮和芬太尼可安全使用。</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3、有文献报道对于难治性疼痛病例，联合使用神经病理性止痛药物如抗癫痫药(加巴喷丁) 、镇静催眠药(苯二氮卓类) 或麻醉药(氯胺酮)等同样可达到镇痛目的。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（三）皮肤护理</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1、局部伤口的处理目标是控制渗出、预防感染、促进愈合。</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2、未液化的皮肤损伤，需碘伏消毒换药，警惕感染；对于已经液化的皮肤损伤，处理、加强消毒，同时要进行局部干燥处理。</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3、同时告知患者必须保持下肢皮肤溃疡处敷料清洁，降低感染的发生。</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4、关注患者舒适度，做好基础护理，保持床单位平整、清洁、干燥。</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5、手术清创具有争议，可能形成一个新的病灶，创口难以愈合。但出现明显感染趋势时需要手术清创，并预防性使用抗菌药物。其他皮肤溃疡治疗选择包括蛆清创术、化学清创术、负压伤口治疗和皮肤移植。</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6、钙化防御患者皮肤氧张力显著降低，部分患者接受高压氧治疗后皮肤损伤改善明显。为避免氧毒性，文献推荐局部高压氧治疗，在条件不允许的情况下，可以考虑采用标准氧疗法：通过面罩给氧，10～15 L/次，持续2 h，1次/d。</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7、指导患者或家属关注皮肤变化，及时进行干预，避免皮肤进一步的损害。</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）营养支持：终末期肾病患者蛋白质能量消耗发生率高达75%，钙化防御患者因皮肤损伤、创面溃疡以及剧烈疼痛等导致食欲不振而加重蛋白质能量消耗，若不积极干预，会引发并发症而危及生命。</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必须给予患者足够的营养支持，遵医嘱予静脉营养，如脂肪乳、氨基酸等药物，饮食宜低钙低磷、低盐低脂、高蛋白（透析患者每日给予蛋白质1.2g/kg）、高维生素、高热量食物，如焯过水的瘦肉、鱼肉，鸡蛋等，满足机体需要，提高患者抗病能力。改善患者食欲：改进烹调方法,尽量使食物色香味俱全,清淡易消化。</w:t>
      </w:r>
    </w:p>
    <w:p>
      <w:pPr>
        <w:keepNext w:val="0"/>
        <w:keepLines w:val="0"/>
        <w:pageBreakBefore w:val="0"/>
        <w:widowControl w:val="0"/>
        <w:kinsoku/>
        <w:wordWrap/>
        <w:overflowPunct/>
        <w:topLinePunct w:val="0"/>
        <w:bidi w:val="0"/>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tabs>
          <w:tab w:val="left" w:pos="270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钙化防御发病率为（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A  1-4%</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kern w:val="0"/>
          <w:sz w:val="32"/>
          <w:szCs w:val="32"/>
        </w:rPr>
        <w:t xml:space="preserve"> 5-10%</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z w:val="32"/>
          <w:szCs w:val="32"/>
        </w:rPr>
        <w:t xml:space="preserve">  C</w:t>
      </w:r>
      <w:r>
        <w:rPr>
          <w:rFonts w:hint="eastAsia" w:ascii="仿宋_GB2312" w:hAnsi="仿宋_GB2312" w:eastAsia="仿宋_GB2312" w:cs="仿宋_GB2312"/>
          <w:kern w:val="0"/>
          <w:sz w:val="32"/>
          <w:szCs w:val="32"/>
        </w:rPr>
        <w:t xml:space="preserve"> 10-20%</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D </w:t>
      </w:r>
      <w:r>
        <w:rPr>
          <w:rFonts w:hint="eastAsia" w:ascii="仿宋_GB2312" w:hAnsi="仿宋_GB2312" w:eastAsia="仿宋_GB2312" w:cs="仿宋_GB2312"/>
          <w:kern w:val="0"/>
          <w:sz w:val="32"/>
          <w:szCs w:val="32"/>
        </w:rPr>
        <w:t>20-30%</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钙化防御可发生（  ）的血管钙化</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骨骼肌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 脑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肺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以上都是</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钙化防御主要表现为 (  )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皮肤溃疡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B 动脉血管钙化   C 周围组织缺血性坏死   D 以上都是</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钙化防御易见于（ ）患者。</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透析     B 肾移植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慢性肾衰竭     D 以上都是</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钙化防御1年内病死率为（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45 -80%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 30-40%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 30-40%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10-20%</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钙化防御主要死因是（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脓毒血症    B 心肌梗塞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高血钾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脑梗死</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以下是钙性尿毒症性小动脉病的危险因素（ ）。</w:t>
      </w:r>
    </w:p>
    <w:p>
      <w:pPr>
        <w:keepNext w:val="0"/>
        <w:keepLines w:val="0"/>
        <w:pageBreakBefore w:val="0"/>
        <w:widowControl w:val="0"/>
        <w:tabs>
          <w:tab w:val="left" w:pos="3165"/>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肾衰竭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 糖尿病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肥胖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以上都是</w:t>
      </w:r>
    </w:p>
    <w:p>
      <w:pPr>
        <w:keepNext w:val="0"/>
        <w:keepLines w:val="0"/>
        <w:pageBreakBefore w:val="0"/>
        <w:widowControl w:val="0"/>
        <w:numPr>
          <w:ilvl w:val="0"/>
          <w:numId w:val="1"/>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钙性尿毒症性小动脉病高危人群（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lang w:val="pt-PT"/>
        </w:rPr>
      </w:pPr>
      <w:r>
        <w:rPr>
          <w:rFonts w:hint="eastAsia" w:ascii="仿宋_GB2312" w:hAnsi="仿宋_GB2312" w:eastAsia="仿宋_GB2312" w:cs="仿宋_GB2312"/>
          <w:sz w:val="32"/>
          <w:szCs w:val="32"/>
          <w:lang w:val="pt-PT"/>
        </w:rPr>
        <w:t xml:space="preserve">A </w:t>
      </w:r>
      <w:r>
        <w:rPr>
          <w:rFonts w:hint="eastAsia" w:ascii="仿宋_GB2312" w:hAnsi="仿宋_GB2312" w:eastAsia="仿宋_GB2312" w:cs="仿宋_GB2312"/>
          <w:sz w:val="32"/>
          <w:szCs w:val="32"/>
        </w:rPr>
        <w:t>白人女性</w:t>
      </w:r>
      <w:r>
        <w:rPr>
          <w:rFonts w:hint="eastAsia" w:ascii="仿宋_GB2312" w:hAnsi="仿宋_GB2312" w:eastAsia="仿宋_GB2312" w:cs="仿宋_GB2312"/>
          <w:sz w:val="32"/>
          <w:szCs w:val="32"/>
          <w:lang w:val="pt-PT"/>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pt-PT"/>
        </w:rPr>
        <w:t xml:space="preserve">B </w:t>
      </w:r>
      <w:r>
        <w:rPr>
          <w:rFonts w:hint="eastAsia" w:ascii="仿宋_GB2312" w:hAnsi="仿宋_GB2312" w:eastAsia="仿宋_GB2312" w:cs="仿宋_GB2312"/>
          <w:sz w:val="32"/>
          <w:szCs w:val="32"/>
        </w:rPr>
        <w:t>肥胖</w:t>
      </w:r>
      <w:r>
        <w:rPr>
          <w:rFonts w:hint="eastAsia" w:ascii="仿宋_GB2312" w:hAnsi="仿宋_GB2312" w:eastAsia="仿宋_GB2312" w:cs="仿宋_GB2312"/>
          <w:sz w:val="32"/>
          <w:szCs w:val="32"/>
          <w:lang w:val="pt-PT"/>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pt-PT"/>
        </w:rPr>
        <w:t xml:space="preserve">C </w:t>
      </w:r>
      <w:r>
        <w:rPr>
          <w:rFonts w:hint="eastAsia" w:ascii="仿宋_GB2312" w:hAnsi="仿宋_GB2312" w:eastAsia="仿宋_GB2312" w:cs="仿宋_GB2312"/>
          <w:sz w:val="32"/>
          <w:szCs w:val="32"/>
        </w:rPr>
        <w:t>糖尿病</w:t>
      </w:r>
      <w:r>
        <w:rPr>
          <w:rFonts w:hint="eastAsia" w:ascii="仿宋_GB2312" w:hAnsi="仿宋_GB2312" w:eastAsia="仿宋_GB2312" w:cs="仿宋_GB2312"/>
          <w:sz w:val="32"/>
          <w:szCs w:val="32"/>
          <w:lang w:val="pt-PT"/>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pt-PT"/>
        </w:rPr>
        <w:t xml:space="preserve">  D 以上都是</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硫代硫酸钠可（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抑制脂肪细胞钙化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促进血管舒张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减少缺血性疼痛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以上都是</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10．钙性尿毒症性小动脉病患者局部伤口的处理目标是（ ）。</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控制渗出</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预防感染</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z w:val="32"/>
          <w:szCs w:val="32"/>
        </w:rPr>
        <w:t>C 促进愈合</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z w:val="32"/>
          <w:szCs w:val="32"/>
        </w:rPr>
        <w:t xml:space="preserve"> D 以上都是</w:t>
      </w:r>
      <w:bookmarkStart w:id="0" w:name="_GoBack"/>
      <w:bookmarkEnd w:id="0"/>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dobeSongStd-Light">
    <w:altName w:val="黑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C09D3"/>
    <w:multiLevelType w:val="multilevel"/>
    <w:tmpl w:val="165C09D3"/>
    <w:lvl w:ilvl="0" w:tentative="0">
      <w:start w:val="1"/>
      <w:numFmt w:val="decimal"/>
      <w:lvlText w:val="%1."/>
      <w:lvlJc w:val="left"/>
      <w:pPr>
        <w:tabs>
          <w:tab w:val="left" w:pos="360"/>
        </w:tabs>
        <w:ind w:left="360" w:hanging="360"/>
      </w:pPr>
      <w:rPr>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D03"/>
    <w:rsid w:val="000356A3"/>
    <w:rsid w:val="0005391C"/>
    <w:rsid w:val="00087B03"/>
    <w:rsid w:val="000A5B60"/>
    <w:rsid w:val="000C0B6E"/>
    <w:rsid w:val="000E259D"/>
    <w:rsid w:val="00126D01"/>
    <w:rsid w:val="00175289"/>
    <w:rsid w:val="001E6912"/>
    <w:rsid w:val="002210BB"/>
    <w:rsid w:val="0026722E"/>
    <w:rsid w:val="002B3B80"/>
    <w:rsid w:val="002C4E80"/>
    <w:rsid w:val="002F220E"/>
    <w:rsid w:val="0030326A"/>
    <w:rsid w:val="00315248"/>
    <w:rsid w:val="00327DD0"/>
    <w:rsid w:val="00334631"/>
    <w:rsid w:val="003429F2"/>
    <w:rsid w:val="00344EFE"/>
    <w:rsid w:val="00416124"/>
    <w:rsid w:val="00422210"/>
    <w:rsid w:val="004835E1"/>
    <w:rsid w:val="00483CEF"/>
    <w:rsid w:val="004928CD"/>
    <w:rsid w:val="004979EE"/>
    <w:rsid w:val="004D1938"/>
    <w:rsid w:val="004D7925"/>
    <w:rsid w:val="004E673F"/>
    <w:rsid w:val="005241DB"/>
    <w:rsid w:val="00531FE9"/>
    <w:rsid w:val="00576F8E"/>
    <w:rsid w:val="00582B9F"/>
    <w:rsid w:val="005A219D"/>
    <w:rsid w:val="005F709D"/>
    <w:rsid w:val="00607855"/>
    <w:rsid w:val="0067472C"/>
    <w:rsid w:val="006A3AE9"/>
    <w:rsid w:val="006A5E77"/>
    <w:rsid w:val="006B093D"/>
    <w:rsid w:val="00735A7F"/>
    <w:rsid w:val="007D40E1"/>
    <w:rsid w:val="007F09CE"/>
    <w:rsid w:val="00832105"/>
    <w:rsid w:val="008A5E61"/>
    <w:rsid w:val="008B2363"/>
    <w:rsid w:val="009317B4"/>
    <w:rsid w:val="009465CC"/>
    <w:rsid w:val="009806F3"/>
    <w:rsid w:val="00992A6F"/>
    <w:rsid w:val="00994CB9"/>
    <w:rsid w:val="009C4F96"/>
    <w:rsid w:val="00A43ABF"/>
    <w:rsid w:val="00A453A4"/>
    <w:rsid w:val="00AC7299"/>
    <w:rsid w:val="00BD002D"/>
    <w:rsid w:val="00C26634"/>
    <w:rsid w:val="00C359B3"/>
    <w:rsid w:val="00CE78AF"/>
    <w:rsid w:val="00CE793C"/>
    <w:rsid w:val="00D00B43"/>
    <w:rsid w:val="00DC27F8"/>
    <w:rsid w:val="00E33708"/>
    <w:rsid w:val="00E36304"/>
    <w:rsid w:val="00EE7FB1"/>
    <w:rsid w:val="00EF0D03"/>
    <w:rsid w:val="00EF12CE"/>
    <w:rsid w:val="00F25FB6"/>
    <w:rsid w:val="00F52050"/>
    <w:rsid w:val="13F732A4"/>
    <w:rsid w:val="5BCD0FF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461</Words>
  <Characters>2632</Characters>
  <Lines>21</Lines>
  <Paragraphs>6</Paragraphs>
  <TotalTime>0</TotalTime>
  <ScaleCrop>false</ScaleCrop>
  <LinksUpToDate>false</LinksUpToDate>
  <CharactersWithSpaces>3087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2020-10-29T08:53:00Z</dcterms:created>
  <dc:creator>CF</dc:creator>
  <cp:lastModifiedBy>lenovo</cp:lastModifiedBy>
  <dcterms:modified xsi:type="dcterms:W3CDTF">2022-09-05T07:50:46Z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